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1月16日0时至1月17日0时，全市共接警出动3起。其中，火灾2起，抢险救援和社会救助1起，共出动消防车6台次、消防救援人员30人次。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截止1月17日9时40分支队对火灾录入情况进行抽查，根据《火灾与警情统计系统应用管理暂行规定》要求，各队站无迟报警情。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1月17日8时31分，支队对公园街消防站、红海滩大街消防站交接班情况进行抽查，各队站值班人员全部在岗在位。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2024-01-22T08:13:44Z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