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截止12月21日9时44分支队对火灾录入情况进行抽查，根据《火灾与警情统计系统应用管理暂行规定》要求，各队站无迟报警情。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12月20日8时30分，支队对城北街消防站、岳山街消防站交接班情况进行抽查，各队站值班人员全部在岗在位。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77110" cy="1700530"/>
            <wp:effectExtent l="0" t="0" r="8890" b="13970"/>
            <wp:docPr id="2" name="图片 2" descr="19eea6da8f2cb534538a51491650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eea6da8f2cb534538a514916505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01800"/>
            <wp:effectExtent l="0" t="0" r="0" b="12700"/>
            <wp:docPr id="3" name="图片 3" descr="a4e08c8ba4322a9546df8b2c6047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e08c8ba4322a9546df8b2c6047c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82165" cy="1561465"/>
            <wp:effectExtent l="0" t="0" r="13335" b="635"/>
            <wp:docPr id="4" name="图片 4" descr="d5a2f0acf40f7bba5572fd45f534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5a2f0acf40f7bba5572fd45f5344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83435" cy="1562100"/>
            <wp:effectExtent l="0" t="0" r="12065" b="0"/>
            <wp:docPr id="5" name="图片 5" descr="89e21e603dd8fb3c1b6ce6d83ae1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9e21e603dd8fb3c1b6ce6d83ae1a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C1A78A9"/>
    <w:rsid w:val="5C1C6D4A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